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1AA7">
      <w:pPr>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sz w:val="44"/>
          <w:szCs w:val="44"/>
        </w:rPr>
      </w:pPr>
      <w:r>
        <w:rPr>
          <w:rFonts w:hint="eastAsia" w:ascii="宋体" w:hAnsi="宋体" w:eastAsia="宋体"/>
          <w:sz w:val="44"/>
          <w:szCs w:val="44"/>
        </w:rPr>
        <w:t>江苏长江石油化工有限公司</w:t>
      </w:r>
    </w:p>
    <w:p w14:paraId="40A0DF8D">
      <w:pPr>
        <w:keepNext w:val="0"/>
        <w:keepLines w:val="0"/>
        <w:widowControl/>
        <w:suppressLineNumbers w:val="0"/>
        <w:jc w:val="center"/>
        <w:rPr>
          <w:rFonts w:hint="default" w:ascii="宋体" w:hAnsi="宋体" w:eastAsia="宋体"/>
          <w:sz w:val="44"/>
          <w:szCs w:val="44"/>
          <w:lang w:val="en-US" w:eastAsia="zh-CN"/>
        </w:rPr>
      </w:pPr>
      <w:r>
        <w:rPr>
          <w:rFonts w:hint="eastAsia" w:ascii="宋体" w:hAnsi="宋体" w:eastAsia="宋体"/>
          <w:sz w:val="44"/>
          <w:szCs w:val="44"/>
          <w:lang w:val="en-US" w:eastAsia="zh-CN"/>
        </w:rPr>
        <w:t>绿化承包服务项目规范要求</w:t>
      </w:r>
    </w:p>
    <w:p w14:paraId="26482B9A">
      <w:pPr>
        <w:keepNext w:val="0"/>
        <w:keepLines w:val="0"/>
        <w:pageBreakBefore w:val="0"/>
        <w:widowControl/>
        <w:suppressLineNumbers w:val="0"/>
        <w:kinsoku/>
        <w:wordWrap/>
        <w:overflowPunct/>
        <w:topLinePunct w:val="0"/>
        <w:autoSpaceDE/>
        <w:autoSpaceDN/>
        <w:bidi w:val="0"/>
        <w:adjustRightInd/>
        <w:snapToGrid/>
        <w:spacing w:line="560" w:lineRule="exact"/>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一、标准规范</w:t>
      </w:r>
    </w:p>
    <w:p w14:paraId="77B51F2E">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CJJ82-2012 园林绿化工程施工及验收规范</w:t>
      </w:r>
      <w:r>
        <w:rPr>
          <w:rFonts w:hint="eastAsia" w:ascii="宋体" w:hAnsi="宋体" w:eastAsia="宋体" w:cs="宋体"/>
          <w:sz w:val="21"/>
          <w:szCs w:val="21"/>
          <w:lang w:eastAsia="zh-CN"/>
        </w:rPr>
        <w:t>。</w:t>
      </w:r>
    </w:p>
    <w:p w14:paraId="5BC90CA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DGJ32/TJ 201—2016 园林绿化工程施工及验收规范</w:t>
      </w:r>
      <w:r>
        <w:rPr>
          <w:rFonts w:hint="eastAsia" w:ascii="宋体" w:hAnsi="宋体" w:eastAsia="宋体" w:cs="宋体"/>
          <w:sz w:val="21"/>
          <w:szCs w:val="21"/>
          <w:lang w:eastAsia="zh-CN"/>
        </w:rPr>
        <w:t>。</w:t>
      </w:r>
    </w:p>
    <w:p w14:paraId="17FE5D72">
      <w:pPr>
        <w:keepNext w:val="0"/>
        <w:keepLines w:val="0"/>
        <w:pageBreakBefore w:val="0"/>
        <w:kinsoku/>
        <w:wordWrap/>
        <w:overflowPunct/>
        <w:topLinePunct w:val="0"/>
        <w:autoSpaceDE/>
        <w:autoSpaceDN/>
        <w:bidi w:val="0"/>
        <w:adjustRightInd/>
        <w:snapToGrid/>
        <w:spacing w:line="56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二、工作内容</w:t>
      </w:r>
    </w:p>
    <w:p w14:paraId="68BFC397">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基本工作和定期工作</w:t>
      </w:r>
    </w:p>
    <w:p w14:paraId="7988062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rPr>
      </w:pPr>
      <w:r>
        <w:rPr>
          <w:rFonts w:hint="eastAsia" w:ascii="宋体" w:hAnsi="宋体" w:eastAsia="宋体" w:cs="宋体"/>
          <w:sz w:val="21"/>
          <w:szCs w:val="21"/>
          <w:lang w:val="en-US" w:eastAsia="zh-CN"/>
        </w:rPr>
        <w:t>基本工作：日常修剪、清理垃圾、零星病虫害防治、除杂草。（需根据采购人要求随时上门维护、保养）。</w:t>
      </w:r>
    </w:p>
    <w:p w14:paraId="1348612D">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定期工作：</w:t>
      </w:r>
    </w:p>
    <w:p w14:paraId="213FC851">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春季（3–5 月）：施肥、修剪、病虫害预防</w:t>
      </w:r>
      <w:r>
        <w:rPr>
          <w:rFonts w:hint="eastAsia" w:ascii="宋体" w:hAnsi="宋体" w:eastAsia="宋体" w:cs="宋体"/>
          <w:sz w:val="21"/>
          <w:szCs w:val="21"/>
          <w:lang w:eastAsia="zh-CN"/>
        </w:rPr>
        <w:t>。</w:t>
      </w:r>
    </w:p>
    <w:p w14:paraId="722B5295">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夏季（6–9 月）：抗旱浇水、病虫害防治、草坪修剪</w:t>
      </w:r>
      <w:r>
        <w:rPr>
          <w:rFonts w:hint="eastAsia" w:ascii="宋体" w:hAnsi="宋体" w:eastAsia="宋体" w:cs="宋体"/>
          <w:sz w:val="21"/>
          <w:szCs w:val="21"/>
          <w:lang w:eastAsia="zh-CN"/>
        </w:rPr>
        <w:t>。</w:t>
      </w:r>
    </w:p>
    <w:p w14:paraId="1B83669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秋季（10–11 月）：施肥、修剪、清园、涂白</w:t>
      </w:r>
      <w:r>
        <w:rPr>
          <w:rFonts w:hint="eastAsia" w:ascii="宋体" w:hAnsi="宋体" w:eastAsia="宋体" w:cs="宋体"/>
          <w:sz w:val="21"/>
          <w:szCs w:val="21"/>
          <w:lang w:eastAsia="zh-CN"/>
        </w:rPr>
        <w:t>。</w:t>
      </w:r>
    </w:p>
    <w:p w14:paraId="26FE9D70">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冬季（12–2 月）：防寒、整形修剪、设施维护</w:t>
      </w:r>
      <w:r>
        <w:rPr>
          <w:rFonts w:hint="eastAsia" w:ascii="宋体" w:hAnsi="宋体" w:eastAsia="宋体" w:cs="宋体"/>
          <w:sz w:val="21"/>
          <w:szCs w:val="21"/>
          <w:lang w:eastAsia="zh-CN"/>
        </w:rPr>
        <w:t>。</w:t>
      </w:r>
    </w:p>
    <w:p w14:paraId="1AF14C84">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定期工作根据季节至少每月上门一次，必要时需按照采购人增加次数。</w:t>
      </w:r>
    </w:p>
    <w:p w14:paraId="5FF22A42">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苗木种植、补种：</w:t>
      </w:r>
    </w:p>
    <w:tbl>
      <w:tblPr>
        <w:tblStyle w:val="7"/>
        <w:tblpPr w:leftFromText="180" w:rightFromText="180" w:vertAnchor="text" w:horzAnchor="page" w:tblpX="1994" w:tblpY="3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412"/>
        <w:gridCol w:w="2000"/>
        <w:gridCol w:w="4378"/>
      </w:tblGrid>
      <w:tr w14:paraId="57EE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Pr>
          <w:p w14:paraId="19984D2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412" w:type="dxa"/>
          </w:tcPr>
          <w:p w14:paraId="6B2031D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种植种类</w:t>
            </w:r>
          </w:p>
        </w:tc>
        <w:tc>
          <w:tcPr>
            <w:tcW w:w="2000" w:type="dxa"/>
          </w:tcPr>
          <w:p w14:paraId="1872845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单价（元/平方米）</w:t>
            </w:r>
          </w:p>
        </w:tc>
        <w:tc>
          <w:tcPr>
            <w:tcW w:w="4378" w:type="dxa"/>
          </w:tcPr>
          <w:p w14:paraId="47AA9D0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w:t>
            </w:r>
          </w:p>
        </w:tc>
      </w:tr>
      <w:tr w14:paraId="2A2F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Pr>
          <w:p w14:paraId="6B4C671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412" w:type="dxa"/>
          </w:tcPr>
          <w:p w14:paraId="2EF6CCA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百莫达草坪</w:t>
            </w:r>
          </w:p>
        </w:tc>
        <w:tc>
          <w:tcPr>
            <w:tcW w:w="2000" w:type="dxa"/>
          </w:tcPr>
          <w:p w14:paraId="46C9376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4378" w:type="dxa"/>
          </w:tcPr>
          <w:p w14:paraId="465627B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一年内保证存活率98%以上，未达到免费补种</w:t>
            </w:r>
          </w:p>
        </w:tc>
      </w:tr>
      <w:tr w14:paraId="3B0B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Pr>
          <w:p w14:paraId="67D1937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412" w:type="dxa"/>
          </w:tcPr>
          <w:p w14:paraId="1A44270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麦冬草草坪</w:t>
            </w:r>
          </w:p>
        </w:tc>
        <w:tc>
          <w:tcPr>
            <w:tcW w:w="2000" w:type="dxa"/>
          </w:tcPr>
          <w:p w14:paraId="47CB487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4378" w:type="dxa"/>
          </w:tcPr>
          <w:p w14:paraId="48C9A91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一年内保证存活率98%以上，未达到免费补种</w:t>
            </w:r>
          </w:p>
        </w:tc>
      </w:tr>
    </w:tbl>
    <w:p w14:paraId="0D50125F">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default" w:ascii="宋体" w:hAnsi="宋体" w:eastAsia="宋体" w:cs="宋体"/>
          <w:sz w:val="21"/>
          <w:szCs w:val="21"/>
          <w:lang w:val="en-US" w:eastAsia="zh-CN"/>
        </w:rPr>
      </w:pPr>
    </w:p>
    <w:p w14:paraId="54FE8987">
      <w:pPr>
        <w:keepNext w:val="0"/>
        <w:keepLines w:val="0"/>
        <w:pageBreakBefore w:val="0"/>
        <w:numPr>
          <w:ilvl w:val="0"/>
          <w:numId w:val="0"/>
        </w:numPr>
        <w:kinsoku/>
        <w:wordWrap/>
        <w:overflowPunct/>
        <w:topLinePunct w:val="0"/>
        <w:autoSpaceDE/>
        <w:autoSpaceDN/>
        <w:bidi w:val="0"/>
        <w:adjustRightInd/>
        <w:snapToGrid/>
        <w:spacing w:line="56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三、</w:t>
      </w:r>
      <w:r>
        <w:rPr>
          <w:rFonts w:hint="eastAsia" w:ascii="宋体" w:hAnsi="宋体" w:eastAsia="宋体" w:cs="宋体"/>
          <w:b/>
          <w:bCs/>
          <w:sz w:val="21"/>
          <w:szCs w:val="21"/>
          <w:lang w:val="en-US" w:eastAsia="zh-CN"/>
        </w:rPr>
        <w:t>安全管理</w:t>
      </w:r>
      <w:bookmarkStart w:id="0" w:name="_GoBack"/>
      <w:bookmarkEnd w:id="0"/>
    </w:p>
    <w:p w14:paraId="68F3673E">
      <w:pPr>
        <w:keepNext w:val="0"/>
        <w:keepLines w:val="0"/>
        <w:pageBreakBefore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1、竞价人须遵守安全管理，遵守采购人现场管理及安保管理的有关规定，服从采购人的管理，自行承担在施工（养护）过程中的一切安全责任。</w:t>
      </w:r>
    </w:p>
    <w:p w14:paraId="6049123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2、竞价人须接受采购人安全教育和培训，掌握安全作业知识，熟悉安全作业技能，增强事故预防和应急能力。</w:t>
      </w:r>
    </w:p>
    <w:p w14:paraId="081D3A47">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3、竞价人委派员工不得进入工作区域无关场所，及动用与基本工作无关的物品。</w:t>
      </w:r>
    </w:p>
    <w:p w14:paraId="23D2000C">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4、竞价人委派员工在作业过程中，应当严格遵守安全作业相关规章制度和操作规程，正确佩带和使用劳动防护用品。</w:t>
      </w:r>
    </w:p>
    <w:p w14:paraId="1DAABF4D">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竞价人车辆、机械、人员进去库区时，必须提前向采购人请示，只有得到竞价人允许才能进入施工，进出车辆必须加装防火罩，按照规定地点停车，按照指定路线行驶，并做好运输前、中、后以及装卸过程中的各项安全管理工作，严禁携带火种，如打火机、香烟、火柴等，严禁携带手机等一切电子设备。</w:t>
      </w:r>
    </w:p>
    <w:p w14:paraId="52A9107F">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6、竞价人在作业中发现不安全因素应立即停止作业并向现场安全管理员或绿化负责人报告。</w:t>
      </w:r>
    </w:p>
    <w:p w14:paraId="110077B1">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竞价人在从事喷洒农药作业时不得使用禁用农药，确保农药使用符合相关环境保护和污染防治要求，作业结束后须及时将喷雾器、剩余药剂、农药外包装、装过农药的空箱、瓶、袋等全部回收纸乙方公司仓库，严禁将上述物品堆放或丢弃在采购人库区及周边河道等区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840824"/>
    <w:rsid w:val="7FBA7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Indent 2"/>
    <w:basedOn w:val="1"/>
    <w:next w:val="1"/>
    <w:qFormat/>
    <w:uiPriority w:val="99"/>
    <w:pPr>
      <w:spacing w:after="120" w:line="480" w:lineRule="auto"/>
      <w:ind w:left="420" w:leftChars="200"/>
    </w:pPr>
    <w:rPr>
      <w:rFonts w:hint="default" w:ascii="Times New Roman" w:eastAsia="宋体"/>
      <w:sz w:val="21"/>
      <w:szCs w:val="24"/>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755</Words>
  <Characters>779</Characters>
  <Lines>0</Lines>
  <Paragraphs>0</Paragraphs>
  <TotalTime>5</TotalTime>
  <ScaleCrop>false</ScaleCrop>
  <LinksUpToDate>false</LinksUpToDate>
  <CharactersWithSpaces>786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2026-07-01T01:29:00Z</dcterms:created>
  <dc:creator>cjsh02</dc:creator>
  <cp:lastModifiedBy>乔～</cp:lastModifiedBy>
  <dcterms:modified xsi:type="dcterms:W3CDTF">2026-07-01T05:46:44Z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eyJoZGlkIjoiZmI4OGE4ZmJmOGZjODQyMzNjOWMxZGEyNzJjNGUwMWMiLCJ1c2VySWQiOiIyNzUyMzAwNzEifQ==</vt:lpwstr>
  </property>
  <property fmtid="{D5CDD505-2E9C-101B-9397-08002B2CF9AE}" pid="4" name="ICV">
    <vt:lpwstr>66AA2D7A02014F69AEA6C79B7473092E_12</vt:lpwstr>
  </property>
</Properties>
</file>